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C67E4D">
        <w:rPr>
          <w:b/>
          <w:sz w:val="24"/>
          <w:szCs w:val="24"/>
        </w:rPr>
        <w:t>1</w:t>
      </w:r>
      <w:r w:rsidR="00A24B95" w:rsidRPr="006E473F">
        <w:rPr>
          <w:rFonts w:hint="eastAsia"/>
          <w:b/>
          <w:sz w:val="24"/>
          <w:szCs w:val="24"/>
          <w:lang w:eastAsia="ko-KR"/>
        </w:rPr>
        <w:tab/>
      </w:r>
      <w:r w:rsidR="0099121F" w:rsidRPr="0099121F">
        <w:rPr>
          <w:b/>
          <w:sz w:val="24"/>
          <w:szCs w:val="24"/>
          <w:lang w:eastAsia="ko-KR"/>
        </w:rPr>
        <w:t>R1-2006148</w:t>
      </w:r>
      <w:bookmarkStart w:id="2" w:name="_GoBack"/>
      <w:bookmarkEnd w:id="2"/>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F77BC5" w:rsidRPr="00F77BC5">
        <w:rPr>
          <w:rFonts w:cs="Arial"/>
          <w:bCs/>
          <w:sz w:val="24"/>
          <w:szCs w:val="24"/>
          <w:lang w:eastAsia="ja-JP"/>
        </w:rPr>
        <w:t>August 17th – 28th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C67E4D">
        <w:rPr>
          <w:rFonts w:ascii="Arial" w:hAnsi="Arial"/>
          <w:color w:val="000000"/>
          <w:sz w:val="24"/>
          <w:szCs w:val="24"/>
        </w:rPr>
        <w:t>8</w:t>
      </w:r>
      <w:r w:rsidR="009A2DD7">
        <w:rPr>
          <w:rFonts w:ascii="Arial" w:hAnsi="Arial"/>
          <w:color w:val="000000"/>
          <w:sz w:val="24"/>
          <w:szCs w:val="24"/>
        </w:rPr>
        <w:t>.</w:t>
      </w:r>
      <w:r w:rsidR="00F77BC5">
        <w:rPr>
          <w:rFonts w:ascii="Arial" w:hAnsi="Arial"/>
          <w:color w:val="000000"/>
          <w:sz w:val="24"/>
          <w:szCs w:val="24"/>
        </w:rPr>
        <w:t>5</w:t>
      </w:r>
      <w:r w:rsidR="009A2DD7">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C67E4D" w:rsidRPr="00C67E4D">
        <w:rPr>
          <w:rFonts w:ascii="Arial" w:eastAsia="Malgun Gothic" w:hAnsi="Arial"/>
          <w:color w:val="000000"/>
          <w:sz w:val="24"/>
        </w:rPr>
        <w:t>Additional scenarios for evaluation</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C43FB" w:rsidRDefault="008005D2" w:rsidP="008005D2">
      <w:pPr>
        <w:wordWrap/>
        <w:spacing w:before="60" w:after="60" w:line="288" w:lineRule="auto"/>
        <w:ind w:firstLine="284"/>
        <w:jc w:val="both"/>
        <w:rPr>
          <w:rFonts w:eastAsia="Malgun Gothic"/>
          <w:color w:val="000000"/>
          <w:sz w:val="22"/>
          <w:szCs w:val="22"/>
        </w:rPr>
      </w:pPr>
      <w:r w:rsidRPr="00DC43FB">
        <w:rPr>
          <w:rFonts w:eastAsia="Malgun Gothic"/>
          <w:color w:val="000000"/>
          <w:sz w:val="22"/>
          <w:szCs w:val="22"/>
        </w:rPr>
        <w:t>A new</w:t>
      </w:r>
      <w:r w:rsidR="00C67E4D" w:rsidRPr="00DC43FB">
        <w:rPr>
          <w:rFonts w:eastAsia="Malgun Gothic"/>
          <w:color w:val="000000"/>
          <w:sz w:val="22"/>
          <w:szCs w:val="22"/>
        </w:rPr>
        <w:t xml:space="preserve"> study</w:t>
      </w:r>
      <w:r w:rsidRPr="00DC43FB">
        <w:rPr>
          <w:rFonts w:eastAsia="Malgun Gothic"/>
          <w:color w:val="000000"/>
          <w:sz w:val="22"/>
          <w:szCs w:val="22"/>
        </w:rPr>
        <w:t xml:space="preserve"> item on “</w:t>
      </w:r>
      <w:r w:rsidR="00C67E4D" w:rsidRPr="00DC43FB">
        <w:rPr>
          <w:rFonts w:eastAsia="Malgun Gothic"/>
          <w:color w:val="000000"/>
          <w:sz w:val="22"/>
          <w:szCs w:val="22"/>
        </w:rPr>
        <w:t>NR Positioning Enhancements</w:t>
      </w:r>
      <w:r w:rsidRPr="00DC43FB">
        <w:rPr>
          <w:rFonts w:eastAsia="Malgun Gothic"/>
          <w:color w:val="000000"/>
          <w:sz w:val="22"/>
          <w:szCs w:val="22"/>
        </w:rPr>
        <w:t>” was approved in RAN#8</w:t>
      </w:r>
      <w:r w:rsidR="00C67E4D" w:rsidRPr="00DC43FB">
        <w:rPr>
          <w:rFonts w:eastAsia="Malgun Gothic"/>
          <w:color w:val="000000"/>
          <w:sz w:val="22"/>
          <w:szCs w:val="22"/>
        </w:rPr>
        <w:t>6</w:t>
      </w:r>
      <w:r w:rsidRPr="00DC43FB">
        <w:rPr>
          <w:rFonts w:eastAsia="Malgun Gothic"/>
          <w:color w:val="000000"/>
          <w:sz w:val="22"/>
          <w:szCs w:val="22"/>
        </w:rPr>
        <w:t xml:space="preserve"> and the </w:t>
      </w:r>
      <w:r w:rsidR="00C67E4D" w:rsidRPr="00DC43FB">
        <w:rPr>
          <w:rFonts w:eastAsia="Malgun Gothic"/>
          <w:color w:val="000000"/>
          <w:sz w:val="22"/>
          <w:szCs w:val="22"/>
        </w:rPr>
        <w:t>objectives are as follows</w:t>
      </w:r>
      <w:r w:rsidR="00421017" w:rsidRPr="00DC43FB">
        <w:rPr>
          <w:rFonts w:eastAsia="Malgun Gothic"/>
          <w:color w:val="000000"/>
          <w:sz w:val="22"/>
          <w:szCs w:val="22"/>
        </w:rPr>
        <w:t xml:space="preserve"> [1]</w:t>
      </w:r>
      <w:r w:rsidRPr="00DC43FB">
        <w:rPr>
          <w:rFonts w:eastAsia="Malgun Gothic"/>
          <w:color w:val="000000"/>
          <w:sz w:val="22"/>
          <w:szCs w:val="22"/>
        </w:rPr>
        <w:t>.</w:t>
      </w:r>
    </w:p>
    <w:p w:rsidR="00C67E4D" w:rsidRPr="00DC43FB" w:rsidRDefault="00C67E4D" w:rsidP="008F12FD">
      <w:pPr>
        <w:widowControl/>
        <w:numPr>
          <w:ilvl w:val="0"/>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Define additional scenarios (e.g. (I)IoT) based on TR 38.901 to evaluate the performance for the use cases (e.g. (I)IoT). [RAN1]</w:t>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Evaluate the achievable positioning accuracy and latency with the Rel-16 positioning solutions in (I)IoT scenarios and identify any performance gaps. [RAN1]</w:t>
      </w:r>
      <w:r w:rsidRPr="00DC43FB">
        <w:rPr>
          <w:rFonts w:eastAsia="SimSun"/>
          <w:sz w:val="22"/>
          <w:szCs w:val="22"/>
          <w:lang w:eastAsia="ja-JP"/>
        </w:rPr>
        <w:tab/>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 xml:space="preserve">Identify and evaluate positioning techniques, DL/UL positioning reference signals, signalling and procedures </w:t>
      </w:r>
      <w:r w:rsidRPr="00DC43FB">
        <w:rPr>
          <w:sz w:val="22"/>
          <w:szCs w:val="22"/>
        </w:rPr>
        <w:t>for improved accuracy, reduced latency,</w:t>
      </w:r>
      <w:r w:rsidRPr="00DC43FB">
        <w:rPr>
          <w:rFonts w:eastAsia="SimSun"/>
          <w:sz w:val="22"/>
          <w:szCs w:val="22"/>
          <w:lang w:eastAsia="ja-JP"/>
        </w:rPr>
        <w:t xml:space="preserve"> network efficiency, and device efficiency</w:t>
      </w:r>
      <w:r w:rsidRPr="00DC43FB">
        <w:rPr>
          <w:sz w:val="22"/>
          <w:szCs w:val="22"/>
        </w:rPr>
        <w:t>.</w:t>
      </w:r>
      <w:r w:rsidRPr="00DC43FB">
        <w:rPr>
          <w:rFonts w:eastAsia="SimSun"/>
          <w:sz w:val="22"/>
          <w:szCs w:val="22"/>
          <w:lang w:eastAsia="ja-JP"/>
        </w:rPr>
        <w:br/>
        <w:t>Enhancements to Rel-16 positioning techniques, if they meet the requirements, will be prioritized, and new techniques will not be considered in this case. [RAN1, RAN2]</w:t>
      </w:r>
    </w:p>
    <w:p w:rsidR="00C67E4D" w:rsidRPr="00DC43FB" w:rsidRDefault="00C67E4D" w:rsidP="00C67E4D">
      <w:pPr>
        <w:pStyle w:val="NO"/>
        <w:ind w:left="1530" w:hanging="900"/>
        <w:rPr>
          <w:sz w:val="22"/>
          <w:szCs w:val="22"/>
          <w:lang w:eastAsia="ja-JP"/>
        </w:rPr>
      </w:pPr>
      <w:r w:rsidRPr="00DC43FB">
        <w:rPr>
          <w:sz w:val="22"/>
          <w:szCs w:val="22"/>
          <w:lang w:eastAsia="ja-JP"/>
        </w:rPr>
        <w:t>NOTE 1:</w:t>
      </w:r>
      <w:r w:rsidRPr="00DC43FB">
        <w:rPr>
          <w:sz w:val="22"/>
          <w:szCs w:val="22"/>
          <w:lang w:eastAsia="ja-JP"/>
        </w:rPr>
        <w:tab/>
        <w:t>Sidelink is not part of this objective.</w:t>
      </w:r>
    </w:p>
    <w:p w:rsidR="00C67E4D" w:rsidRPr="00DC43FB" w:rsidRDefault="00C67E4D" w:rsidP="00C67E4D">
      <w:pPr>
        <w:ind w:left="1530" w:right="-99" w:hanging="900"/>
        <w:rPr>
          <w:rFonts w:eastAsia="SimSun"/>
          <w:sz w:val="22"/>
          <w:szCs w:val="22"/>
          <w:lang w:eastAsia="ja-JP"/>
        </w:rPr>
      </w:pPr>
      <w:r w:rsidRPr="00DC43FB">
        <w:rPr>
          <w:rFonts w:eastAsia="SimSun"/>
          <w:sz w:val="22"/>
          <w:szCs w:val="22"/>
          <w:lang w:eastAsia="ja-JP"/>
        </w:rPr>
        <w:t>NOTE 2:</w:t>
      </w:r>
      <w:r w:rsidRPr="00DC43FB">
        <w:rPr>
          <w:rFonts w:eastAsia="SimSun"/>
          <w:sz w:val="22"/>
          <w:szCs w:val="22"/>
          <w:lang w:eastAsia="ja-JP"/>
        </w:rPr>
        <w:tab/>
        <w:t>Involve RAN4 for validating assumptions for the systems evaluations where appropriate.</w:t>
      </w:r>
    </w:p>
    <w:p w:rsidR="00C67E4D" w:rsidRPr="00DC43FB" w:rsidRDefault="00C67E4D" w:rsidP="00C67E4D">
      <w:pPr>
        <w:ind w:left="1530" w:right="-99" w:hanging="900"/>
        <w:rPr>
          <w:rFonts w:eastAsia="SimSun"/>
          <w:sz w:val="22"/>
          <w:szCs w:val="22"/>
          <w:lang w:eastAsia="ja-JP"/>
        </w:rPr>
      </w:pPr>
      <w:r w:rsidRPr="00DC43FB">
        <w:rPr>
          <w:rFonts w:eastAsia="SimSun"/>
          <w:sz w:val="22"/>
          <w:szCs w:val="22"/>
          <w:lang w:eastAsia="ja-JP"/>
        </w:rPr>
        <w:t>NOTE 3:</w:t>
      </w:r>
      <w:r w:rsidRPr="00DC43FB">
        <w:rPr>
          <w:rFonts w:eastAsia="SimSun"/>
          <w:sz w:val="22"/>
          <w:szCs w:val="22"/>
          <w:lang w:eastAsia="ja-JP"/>
        </w:rPr>
        <w:tab/>
        <w:t>The commercial use cases and requirements are applicable to a limited geographic area.</w:t>
      </w:r>
    </w:p>
    <w:p w:rsidR="008005D2" w:rsidRPr="00DC43FB" w:rsidRDefault="008005D2" w:rsidP="00C67E4D">
      <w:pPr>
        <w:widowControl/>
        <w:wordWrap/>
        <w:autoSpaceDE/>
        <w:autoSpaceDN/>
        <w:ind w:left="720"/>
        <w:rPr>
          <w:sz w:val="22"/>
          <w:szCs w:val="22"/>
          <w:lang w:eastAsia="x-none"/>
        </w:rPr>
      </w:pPr>
    </w:p>
    <w:p w:rsidR="008005D2" w:rsidRPr="00DC43FB" w:rsidRDefault="00F77BC5" w:rsidP="008005D2">
      <w:pPr>
        <w:widowControl/>
        <w:wordWrap/>
        <w:autoSpaceDE/>
        <w:autoSpaceDN/>
        <w:ind w:firstLine="284"/>
        <w:rPr>
          <w:sz w:val="22"/>
          <w:szCs w:val="22"/>
          <w:lang w:val="en-GB"/>
        </w:rPr>
      </w:pPr>
      <w:r>
        <w:rPr>
          <w:sz w:val="22"/>
          <w:szCs w:val="22"/>
          <w:lang w:val="en-GB"/>
        </w:rPr>
        <w:t xml:space="preserve">In RAN1#101e, a series of agreements for additional scenarios were made in [2]. </w:t>
      </w:r>
      <w:r w:rsidR="008005D2" w:rsidRPr="00DC43FB">
        <w:rPr>
          <w:sz w:val="22"/>
          <w:szCs w:val="22"/>
          <w:lang w:val="en-GB"/>
        </w:rPr>
        <w:t xml:space="preserve">In this contribution, we discuss the </w:t>
      </w:r>
      <w:r>
        <w:rPr>
          <w:sz w:val="22"/>
          <w:szCs w:val="22"/>
          <w:lang w:val="en-GB"/>
        </w:rPr>
        <w:t xml:space="preserve">remaining issues for </w:t>
      </w:r>
      <w:r w:rsidR="00C67E4D" w:rsidRPr="00DC43FB">
        <w:rPr>
          <w:sz w:val="22"/>
          <w:szCs w:val="22"/>
          <w:lang w:val="en-GB"/>
        </w:rPr>
        <w:t>additional scenarios for evaluation</w:t>
      </w:r>
      <w:r w:rsidR="008005D2" w:rsidRPr="00DC43FB">
        <w:rPr>
          <w:sz w:val="22"/>
          <w:szCs w:val="22"/>
          <w:lang w:val="en-GB"/>
        </w:rPr>
        <w:t xml:space="preserve"> for NR positioning</w:t>
      </w:r>
      <w:r w:rsidR="00C67E4D" w:rsidRPr="00DC43FB">
        <w:rPr>
          <w:sz w:val="22"/>
          <w:szCs w:val="22"/>
          <w:lang w:val="en-GB"/>
        </w:rPr>
        <w:t xml:space="preserve"> evaluation</w:t>
      </w:r>
      <w:r w:rsidR="008005D2" w:rsidRPr="00DC43FB">
        <w:rPr>
          <w:sz w:val="22"/>
          <w:szCs w:val="22"/>
          <w:lang w:val="en-GB"/>
        </w:rPr>
        <w:t>.</w:t>
      </w:r>
    </w:p>
    <w:p w:rsidR="008005D2" w:rsidRDefault="00C67E4D" w:rsidP="008005D2">
      <w:pPr>
        <w:pStyle w:val="Heading1"/>
      </w:pPr>
      <w:r>
        <w:t xml:space="preserve">Use cases and </w:t>
      </w:r>
      <w:r w:rsidR="00707931">
        <w:t>evaluation metrics</w:t>
      </w:r>
    </w:p>
    <w:p w:rsidR="00775FD7" w:rsidRPr="00DC43FB" w:rsidRDefault="00041893" w:rsidP="008005D2">
      <w:pPr>
        <w:wordWrap/>
        <w:spacing w:before="60" w:after="60" w:line="288" w:lineRule="auto"/>
        <w:ind w:firstLine="284"/>
        <w:jc w:val="both"/>
        <w:rPr>
          <w:sz w:val="22"/>
          <w:szCs w:val="22"/>
        </w:rPr>
      </w:pPr>
      <w:r w:rsidRPr="00DC43FB">
        <w:rPr>
          <w:sz w:val="22"/>
          <w:szCs w:val="22"/>
        </w:rPr>
        <w:t xml:space="preserve">In order to facilitate the </w:t>
      </w:r>
      <w:r w:rsidR="00775FD7" w:rsidRPr="00DC43FB">
        <w:rPr>
          <w:sz w:val="22"/>
          <w:szCs w:val="22"/>
        </w:rPr>
        <w:t>evolution of future factories, n</w:t>
      </w:r>
      <w:r w:rsidR="00C67E4D" w:rsidRPr="00DC43FB">
        <w:rPr>
          <w:sz w:val="22"/>
          <w:szCs w:val="22"/>
        </w:rPr>
        <w:t xml:space="preserve">ew use cases, i.e., IIOT use cases with the associated performance requirements </w:t>
      </w:r>
      <w:r w:rsidR="0079008F" w:rsidRPr="00DC43FB">
        <w:rPr>
          <w:sz w:val="22"/>
          <w:szCs w:val="22"/>
        </w:rPr>
        <w:t>are defined to</w:t>
      </w:r>
      <w:r w:rsidR="00C67E4D" w:rsidRPr="00DC43FB">
        <w:rPr>
          <w:sz w:val="22"/>
          <w:szCs w:val="22"/>
        </w:rPr>
        <w:t xml:space="preserve"> identify the performance gap and the simulation scenarios for the IIOT use cases with associated parameters. </w:t>
      </w:r>
      <w:r w:rsidR="00775FD7" w:rsidRPr="00DC43FB">
        <w:rPr>
          <w:sz w:val="22"/>
          <w:szCs w:val="22"/>
        </w:rPr>
        <w:t>Eight positioning service levels are defined in [</w:t>
      </w:r>
      <w:r w:rsidR="00421017" w:rsidRPr="00DC43FB">
        <w:rPr>
          <w:sz w:val="22"/>
          <w:szCs w:val="22"/>
        </w:rPr>
        <w:t>2</w:t>
      </w:r>
      <w:r w:rsidR="00775FD7" w:rsidRPr="00DC43FB">
        <w:rPr>
          <w:sz w:val="22"/>
          <w:szCs w:val="22"/>
        </w:rPr>
        <w:t xml:space="preserve">] as below, each corresponding to a specific use case. </w:t>
      </w:r>
    </w:p>
    <w:tbl>
      <w:tblPr>
        <w:tblW w:w="0" w:type="auto"/>
        <w:tblCellMar>
          <w:left w:w="0" w:type="dxa"/>
          <w:right w:w="0" w:type="dxa"/>
        </w:tblCellMar>
        <w:tblLook w:val="04A0" w:firstRow="1" w:lastRow="0" w:firstColumn="1" w:lastColumn="0" w:noHBand="0" w:noVBand="1"/>
      </w:tblPr>
      <w:tblGrid>
        <w:gridCol w:w="924"/>
        <w:gridCol w:w="1519"/>
        <w:gridCol w:w="1519"/>
        <w:gridCol w:w="1382"/>
        <w:gridCol w:w="1460"/>
        <w:gridCol w:w="1352"/>
        <w:gridCol w:w="1465"/>
      </w:tblGrid>
      <w:tr w:rsidR="00775FD7" w:rsidRPr="00DC43FB" w:rsidTr="00773BF7">
        <w:tc>
          <w:tcPr>
            <w:tcW w:w="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lastRenderedPageBreak/>
              <w:t xml:space="preserve">Position service level </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Horizontal accuracy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Availability</w:t>
            </w:r>
          </w:p>
        </w:tc>
        <w:tc>
          <w:tcPr>
            <w:tcW w:w="142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Heading </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Latency for position estimation of UE</w:t>
            </w:r>
          </w:p>
        </w:tc>
        <w:tc>
          <w:tcPr>
            <w:tcW w:w="1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UE Mobility </w:t>
            </w:r>
          </w:p>
        </w:tc>
        <w:tc>
          <w:tcPr>
            <w:tcW w:w="15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Use case reference</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[99.9%] </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0,54 rad</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Future 6.5</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2</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[5 m]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[5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Futur6 6.7</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3</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[0,17 rad] </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[15 ms]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future 10.8</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4</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[2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sz w:val="22"/>
                <w:szCs w:val="22"/>
              </w:rPr>
              <w:t>Factories of the Future 13.3</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5</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[30 cm (if supported by further sensors like camera, GNSS, IMU)]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[10 ms]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sz w:val="22"/>
                <w:szCs w:val="22"/>
              </w:rPr>
              <w:t>Factories of the Future15.5</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6</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[20 cm]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Future15.6</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7</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[50 cm]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Future18.19</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8</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[1m (relative positioning)]</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Future18.20</w:t>
            </w:r>
          </w:p>
        </w:tc>
      </w:tr>
    </w:tbl>
    <w:p w:rsidR="00775FD7" w:rsidRPr="00DC43FB" w:rsidRDefault="00775FD7" w:rsidP="00775FD7">
      <w:pPr>
        <w:wordWrap/>
        <w:spacing w:before="60" w:after="60" w:line="288" w:lineRule="auto"/>
        <w:jc w:val="center"/>
        <w:rPr>
          <w:sz w:val="22"/>
          <w:szCs w:val="22"/>
        </w:rPr>
      </w:pPr>
      <w:r w:rsidRPr="00DC43FB">
        <w:rPr>
          <w:sz w:val="22"/>
          <w:szCs w:val="22"/>
        </w:rPr>
        <w:t>Table-1 Positioning Service Performance Requirements</w:t>
      </w:r>
    </w:p>
    <w:p w:rsidR="00775FD7" w:rsidRPr="00DC43FB" w:rsidRDefault="00775FD7" w:rsidP="008005D2">
      <w:pPr>
        <w:wordWrap/>
        <w:spacing w:before="60" w:after="60" w:line="288" w:lineRule="auto"/>
        <w:ind w:firstLine="284"/>
        <w:jc w:val="both"/>
        <w:rPr>
          <w:sz w:val="22"/>
          <w:szCs w:val="22"/>
        </w:rPr>
      </w:pPr>
      <w:r w:rsidRPr="00DC43FB">
        <w:rPr>
          <w:sz w:val="22"/>
          <w:szCs w:val="22"/>
        </w:rPr>
        <w:t>The first two service levels correspond to mobile control panels with safety functions. Due to the criticality of these safety functions, it is crucial that these two service levels should be supported. The last service level, i.e., relative positioning, corresponds to the use case of flexible, modular assembly area, where a modular production environment adaptable to the different variants of product orders is up and running. In order to achieve high production flexibility and versatility, this service level should also be supported. Therefore, the target positioning requirements should be defined following the IIoT use cases with positioning level 1,2 and 8 in Table 8.1.7 in TR 22.804.</w:t>
      </w:r>
      <w:r w:rsidR="009967C2">
        <w:rPr>
          <w:sz w:val="22"/>
          <w:szCs w:val="22"/>
        </w:rPr>
        <w:t xml:space="preserve"> In addition,</w:t>
      </w:r>
      <w:r w:rsidR="009967C2" w:rsidRPr="009967C2">
        <w:rPr>
          <w:sz w:val="22"/>
          <w:szCs w:val="22"/>
        </w:rPr>
        <w:t xml:space="preserve"> table 7.3.2.2-1 of TS 22.261</w:t>
      </w:r>
      <w:r w:rsidR="009967C2">
        <w:rPr>
          <w:sz w:val="22"/>
          <w:szCs w:val="22"/>
        </w:rPr>
        <w:t xml:space="preserve"> should also be considered.</w:t>
      </w:r>
    </w:p>
    <w:p w:rsidR="00775FD7" w:rsidRPr="00DC43FB" w:rsidRDefault="00775FD7" w:rsidP="00775FD7">
      <w:pPr>
        <w:wordWrap/>
        <w:spacing w:before="60" w:after="60" w:line="288" w:lineRule="auto"/>
        <w:jc w:val="both"/>
        <w:rPr>
          <w:i/>
          <w:sz w:val="22"/>
          <w:szCs w:val="22"/>
        </w:rPr>
      </w:pPr>
      <w:r w:rsidRPr="00DC43FB">
        <w:rPr>
          <w:b/>
          <w:i/>
          <w:sz w:val="22"/>
          <w:szCs w:val="22"/>
        </w:rPr>
        <w:t>Proposal 1</w:t>
      </w:r>
      <w:r w:rsidRPr="00DC43FB">
        <w:rPr>
          <w:i/>
          <w:sz w:val="22"/>
          <w:szCs w:val="22"/>
        </w:rPr>
        <w:t>: The target positioning requirements should be defined following the IIoT use cases with positioning level 1, 2 and 8 in Table 8.1.7 in TR 22.804</w:t>
      </w:r>
      <w:r w:rsidR="009967C2">
        <w:rPr>
          <w:i/>
          <w:sz w:val="22"/>
          <w:szCs w:val="22"/>
        </w:rPr>
        <w:t xml:space="preserve"> and T</w:t>
      </w:r>
      <w:r w:rsidR="009967C2" w:rsidRPr="009967C2">
        <w:rPr>
          <w:i/>
          <w:sz w:val="22"/>
          <w:szCs w:val="22"/>
        </w:rPr>
        <w:t>able 7.3.2.2-1 of TS 22.261</w:t>
      </w:r>
      <w:r w:rsidRPr="00DC43FB">
        <w:rPr>
          <w:i/>
          <w:sz w:val="22"/>
          <w:szCs w:val="22"/>
        </w:rPr>
        <w:t>.</w:t>
      </w:r>
    </w:p>
    <w:p w:rsidR="009967C2" w:rsidRPr="00DC43FB" w:rsidRDefault="00775FD7" w:rsidP="00F77BC5">
      <w:pPr>
        <w:wordWrap/>
        <w:spacing w:before="60" w:after="60" w:line="288" w:lineRule="auto"/>
        <w:jc w:val="both"/>
        <w:rPr>
          <w:sz w:val="22"/>
          <w:szCs w:val="22"/>
        </w:rPr>
      </w:pPr>
      <w:r w:rsidRPr="00DC43FB">
        <w:rPr>
          <w:sz w:val="22"/>
          <w:szCs w:val="22"/>
        </w:rPr>
        <w:tab/>
      </w:r>
      <w:r w:rsidR="009967C2">
        <w:rPr>
          <w:sz w:val="22"/>
          <w:szCs w:val="22"/>
        </w:rPr>
        <w:t>For evaluation metrics, p</w:t>
      </w:r>
      <w:r w:rsidR="009967C2" w:rsidRPr="009967C2">
        <w:rPr>
          <w:sz w:val="22"/>
          <w:szCs w:val="22"/>
        </w:rPr>
        <w:t xml:space="preserve">ositioning accuracy </w:t>
      </w:r>
      <w:r w:rsidR="009967C2">
        <w:rPr>
          <w:sz w:val="22"/>
          <w:szCs w:val="22"/>
        </w:rPr>
        <w:t xml:space="preserve">should be the baseline metric </w:t>
      </w:r>
      <w:r w:rsidR="009967C2" w:rsidRPr="009967C2">
        <w:rPr>
          <w:sz w:val="22"/>
          <w:szCs w:val="22"/>
        </w:rPr>
        <w:t>including relative positioning accuracy</w:t>
      </w:r>
      <w:r w:rsidR="009967C2">
        <w:rPr>
          <w:sz w:val="22"/>
          <w:szCs w:val="22"/>
        </w:rPr>
        <w:t xml:space="preserve">. In addition, </w:t>
      </w:r>
      <w:r w:rsidR="009967C2" w:rsidRPr="009967C2">
        <w:rPr>
          <w:sz w:val="22"/>
          <w:szCs w:val="22"/>
        </w:rPr>
        <w:t>latency</w:t>
      </w:r>
      <w:r w:rsidR="009967C2">
        <w:rPr>
          <w:sz w:val="22"/>
          <w:szCs w:val="22"/>
        </w:rPr>
        <w:t>, signaling overhead</w:t>
      </w:r>
      <w:r w:rsidR="009967C2" w:rsidRPr="009967C2">
        <w:rPr>
          <w:sz w:val="22"/>
          <w:szCs w:val="22"/>
        </w:rPr>
        <w:t xml:space="preserve"> and UE power consumption can be </w:t>
      </w:r>
      <w:r w:rsidR="009967C2">
        <w:rPr>
          <w:sz w:val="22"/>
          <w:szCs w:val="22"/>
        </w:rPr>
        <w:t>considered as the</w:t>
      </w:r>
      <w:r w:rsidR="009967C2" w:rsidRPr="009967C2">
        <w:rPr>
          <w:sz w:val="22"/>
          <w:szCs w:val="22"/>
        </w:rPr>
        <w:t xml:space="preserve"> metrics for evaluation</w:t>
      </w:r>
      <w:r w:rsidR="009967C2">
        <w:rPr>
          <w:sz w:val="22"/>
          <w:szCs w:val="22"/>
        </w:rPr>
        <w:t>.</w:t>
      </w:r>
      <w:r w:rsidR="009967C2" w:rsidRPr="009967C2">
        <w:rPr>
          <w:sz w:val="22"/>
          <w:szCs w:val="22"/>
        </w:rPr>
        <w:t xml:space="preserve"> </w:t>
      </w:r>
      <w:r w:rsidR="009967C2">
        <w:rPr>
          <w:sz w:val="22"/>
          <w:szCs w:val="22"/>
        </w:rPr>
        <w:t>I</w:t>
      </w:r>
      <w:r w:rsidR="009967C2" w:rsidRPr="009967C2">
        <w:rPr>
          <w:sz w:val="22"/>
          <w:szCs w:val="22"/>
        </w:rPr>
        <w:t>t should be noted that not all metrics can be evaluated in a quantitive manner.</w:t>
      </w:r>
      <w:r w:rsidR="009967C2">
        <w:rPr>
          <w:sz w:val="22"/>
          <w:szCs w:val="22"/>
        </w:rPr>
        <w:t xml:space="preserve"> </w:t>
      </w:r>
    </w:p>
    <w:p w:rsidR="009967C2" w:rsidRPr="00DC43FB" w:rsidRDefault="009967C2" w:rsidP="009967C2">
      <w:pPr>
        <w:spacing w:before="60" w:after="60" w:line="288" w:lineRule="auto"/>
        <w:jc w:val="both"/>
        <w:rPr>
          <w:i/>
          <w:sz w:val="22"/>
          <w:szCs w:val="22"/>
        </w:rPr>
      </w:pPr>
      <w:r w:rsidRPr="00DC43FB">
        <w:rPr>
          <w:b/>
          <w:i/>
          <w:sz w:val="22"/>
          <w:szCs w:val="22"/>
        </w:rPr>
        <w:t xml:space="preserve">Proposal </w:t>
      </w:r>
      <w:r w:rsidR="00F77BC5">
        <w:rPr>
          <w:b/>
          <w:i/>
          <w:sz w:val="22"/>
          <w:szCs w:val="22"/>
        </w:rPr>
        <w:t>2</w:t>
      </w:r>
      <w:r w:rsidRPr="00DC43FB">
        <w:rPr>
          <w:i/>
          <w:sz w:val="22"/>
          <w:szCs w:val="22"/>
        </w:rPr>
        <w:t xml:space="preserve">: </w:t>
      </w:r>
      <w:r w:rsidRPr="009967C2">
        <w:rPr>
          <w:i/>
          <w:sz w:val="22"/>
          <w:szCs w:val="22"/>
        </w:rPr>
        <w:t>Positioning accuracy including relati</w:t>
      </w:r>
      <w:r>
        <w:rPr>
          <w:i/>
          <w:sz w:val="22"/>
          <w:szCs w:val="22"/>
        </w:rPr>
        <w:t>ve positioing accuracy should be the baseline metric for evaluation. Latency</w:t>
      </w:r>
      <w:r>
        <w:rPr>
          <w:i/>
          <w:sz w:val="22"/>
          <w:szCs w:val="22"/>
          <w:lang w:val="en-GB"/>
        </w:rPr>
        <w:t xml:space="preserve">, signalling overhead </w:t>
      </w:r>
      <w:r w:rsidRPr="009967C2">
        <w:rPr>
          <w:i/>
          <w:sz w:val="22"/>
          <w:szCs w:val="22"/>
        </w:rPr>
        <w:t xml:space="preserve">and UE power consumption can be </w:t>
      </w:r>
      <w:r>
        <w:rPr>
          <w:i/>
          <w:sz w:val="22"/>
          <w:szCs w:val="22"/>
        </w:rPr>
        <w:t>considered additionally as metrics</w:t>
      </w:r>
      <w:r w:rsidRPr="009967C2">
        <w:rPr>
          <w:i/>
          <w:sz w:val="22"/>
          <w:szCs w:val="22"/>
        </w:rPr>
        <w:t xml:space="preserve"> for evaluation</w:t>
      </w:r>
      <w:r>
        <w:rPr>
          <w:i/>
          <w:sz w:val="22"/>
          <w:szCs w:val="22"/>
        </w:rPr>
        <w:t xml:space="preserve"> in an analytical manner</w:t>
      </w:r>
      <w:r w:rsidRPr="00DC43FB">
        <w:rPr>
          <w:i/>
          <w:sz w:val="22"/>
          <w:szCs w:val="22"/>
        </w:rPr>
        <w:t>.</w:t>
      </w:r>
    </w:p>
    <w:p w:rsidR="009458A4" w:rsidRDefault="00707931" w:rsidP="009458A4">
      <w:pPr>
        <w:pStyle w:val="Heading1"/>
      </w:pPr>
      <w:r>
        <w:t>Remaining issues for e</w:t>
      </w:r>
      <w:r w:rsidR="009458A4">
        <w:t>valuation parameters</w:t>
      </w:r>
    </w:p>
    <w:p w:rsidR="00707931" w:rsidRPr="00DC43FB" w:rsidRDefault="00707931" w:rsidP="00707931">
      <w:pPr>
        <w:wordWrap/>
        <w:spacing w:before="60" w:after="60" w:line="288" w:lineRule="auto"/>
        <w:ind w:firstLine="284"/>
        <w:jc w:val="both"/>
        <w:rPr>
          <w:rFonts w:eastAsia="Malgun Gothic"/>
          <w:color w:val="000000"/>
          <w:sz w:val="22"/>
          <w:szCs w:val="22"/>
        </w:rPr>
      </w:pPr>
      <w:r w:rsidRPr="00DC43FB">
        <w:rPr>
          <w:rFonts w:eastAsia="Malgun Gothic"/>
          <w:color w:val="000000"/>
          <w:sz w:val="22"/>
          <w:szCs w:val="22"/>
        </w:rPr>
        <w:t xml:space="preserve">In this </w:t>
      </w:r>
      <w:r>
        <w:rPr>
          <w:rFonts w:eastAsia="Malgun Gothic"/>
          <w:color w:val="000000"/>
          <w:sz w:val="22"/>
          <w:szCs w:val="22"/>
        </w:rPr>
        <w:t>section</w:t>
      </w:r>
      <w:r w:rsidRPr="00DC43FB">
        <w:rPr>
          <w:rFonts w:eastAsia="Malgun Gothic"/>
          <w:color w:val="000000"/>
          <w:sz w:val="22"/>
          <w:szCs w:val="22"/>
        </w:rPr>
        <w:t xml:space="preserve">, we discussed the </w:t>
      </w:r>
      <w:r>
        <w:rPr>
          <w:rFonts w:eastAsia="Malgun Gothic"/>
          <w:color w:val="000000"/>
          <w:sz w:val="22"/>
          <w:szCs w:val="22"/>
        </w:rPr>
        <w:t>remaining issues for evaluation parameters</w:t>
      </w:r>
      <w:r w:rsidRPr="00DC43FB">
        <w:rPr>
          <w:rFonts w:eastAsia="Malgun Gothic"/>
          <w:color w:val="000000"/>
          <w:sz w:val="22"/>
          <w:szCs w:val="22"/>
        </w:rPr>
        <w:t>.</w:t>
      </w:r>
      <w:r>
        <w:rPr>
          <w:rFonts w:eastAsia="Malgun Gothic"/>
          <w:color w:val="000000"/>
          <w:sz w:val="22"/>
          <w:szCs w:val="22"/>
        </w:rPr>
        <w:t xml:space="preserve"> The first issue is the optional </w:t>
      </w:r>
      <w:r w:rsidRPr="00707931">
        <w:rPr>
          <w:rFonts w:eastAsia="Malgun Gothic"/>
          <w:color w:val="000000"/>
          <w:sz w:val="22"/>
          <w:szCs w:val="22"/>
        </w:rPr>
        <w:t xml:space="preserve">UE </w:t>
      </w:r>
      <w:r>
        <w:rPr>
          <w:rFonts w:eastAsia="Malgun Gothic"/>
          <w:color w:val="000000"/>
          <w:sz w:val="22"/>
          <w:szCs w:val="22"/>
        </w:rPr>
        <w:t xml:space="preserve">and gNB </w:t>
      </w:r>
      <w:r w:rsidRPr="00707931">
        <w:rPr>
          <w:rFonts w:eastAsia="Malgun Gothic"/>
          <w:color w:val="000000"/>
          <w:sz w:val="22"/>
          <w:szCs w:val="22"/>
        </w:rPr>
        <w:t>antenna height</w:t>
      </w:r>
      <w:r>
        <w:rPr>
          <w:rFonts w:eastAsia="Malgun Gothic"/>
          <w:color w:val="000000"/>
          <w:sz w:val="22"/>
          <w:szCs w:val="22"/>
        </w:rPr>
        <w:t xml:space="preserve">. The baseline UE height is 1.5m, which is normally assumed to be a human being. However, for IIoT devices, the height can be in a wider range. Therefore, we can assume the UE height in the </w:t>
      </w:r>
      <w:r>
        <w:rPr>
          <w:rFonts w:eastAsia="Malgun Gothic"/>
          <w:color w:val="000000"/>
          <w:sz w:val="22"/>
          <w:szCs w:val="22"/>
        </w:rPr>
        <w:lastRenderedPageBreak/>
        <w:t xml:space="preserve">range of [0.5m, 2m] with uniform distribution. For gNB, the baseline height is 8m. The main pragmatic scenario for IIoT devices is future factory, where </w:t>
      </w:r>
      <w:r w:rsidR="001E063F">
        <w:rPr>
          <w:rFonts w:eastAsia="Malgun Gothic"/>
          <w:color w:val="000000"/>
          <w:sz w:val="22"/>
          <w:szCs w:val="22"/>
        </w:rPr>
        <w:t xml:space="preserve">the gNB can be installed on the roof to have better coverage and less blockage. Since </w:t>
      </w:r>
      <w:r>
        <w:rPr>
          <w:rFonts w:eastAsia="Malgun Gothic"/>
          <w:color w:val="000000"/>
          <w:sz w:val="22"/>
          <w:szCs w:val="22"/>
        </w:rPr>
        <w:t xml:space="preserve">the roof </w:t>
      </w:r>
      <w:r w:rsidR="001E063F">
        <w:rPr>
          <w:rFonts w:eastAsia="Malgun Gothic"/>
          <w:color w:val="000000"/>
          <w:sz w:val="22"/>
          <w:szCs w:val="22"/>
        </w:rPr>
        <w:t>height is assumed to be 10m, we can also assume the gNB height is 10m and the gNBs are installed on the roof as optional parameters.</w:t>
      </w:r>
    </w:p>
    <w:p w:rsidR="001E063F" w:rsidRPr="00DC43FB" w:rsidRDefault="001E063F" w:rsidP="001E063F">
      <w:pPr>
        <w:wordWrap/>
        <w:spacing w:before="60" w:after="60" w:line="288" w:lineRule="auto"/>
        <w:jc w:val="both"/>
        <w:rPr>
          <w:i/>
          <w:sz w:val="22"/>
          <w:szCs w:val="22"/>
        </w:rPr>
      </w:pPr>
      <w:r w:rsidRPr="00DC43FB">
        <w:rPr>
          <w:b/>
          <w:i/>
          <w:sz w:val="22"/>
          <w:szCs w:val="22"/>
        </w:rPr>
        <w:t xml:space="preserve">Proposal </w:t>
      </w:r>
      <w:r>
        <w:rPr>
          <w:b/>
          <w:i/>
          <w:sz w:val="22"/>
          <w:szCs w:val="22"/>
        </w:rPr>
        <w:t>3</w:t>
      </w:r>
      <w:r w:rsidRPr="00DC43FB">
        <w:rPr>
          <w:i/>
          <w:sz w:val="22"/>
          <w:szCs w:val="22"/>
        </w:rPr>
        <w:t xml:space="preserve">: The </w:t>
      </w:r>
      <w:r>
        <w:rPr>
          <w:i/>
          <w:sz w:val="22"/>
          <w:szCs w:val="22"/>
        </w:rPr>
        <w:t xml:space="preserve">optional </w:t>
      </w:r>
      <w:r w:rsidRPr="001E063F">
        <w:rPr>
          <w:i/>
          <w:sz w:val="22"/>
          <w:szCs w:val="22"/>
        </w:rPr>
        <w:t>UE height</w:t>
      </w:r>
      <w:r>
        <w:rPr>
          <w:i/>
          <w:sz w:val="22"/>
          <w:szCs w:val="22"/>
        </w:rPr>
        <w:t xml:space="preserve"> can be assumed to be</w:t>
      </w:r>
      <w:r w:rsidRPr="001E063F">
        <w:rPr>
          <w:i/>
          <w:sz w:val="22"/>
          <w:szCs w:val="22"/>
        </w:rPr>
        <w:t xml:space="preserve"> in the range of [0.5m, 2m] with uniform distribution</w:t>
      </w:r>
      <w:r>
        <w:rPr>
          <w:i/>
          <w:sz w:val="22"/>
          <w:szCs w:val="22"/>
        </w:rPr>
        <w:t xml:space="preserve">. The optional gNB height can be assumed to be 10m and </w:t>
      </w:r>
      <w:r w:rsidRPr="001E063F">
        <w:rPr>
          <w:i/>
          <w:sz w:val="22"/>
          <w:szCs w:val="22"/>
        </w:rPr>
        <w:t>the gNBs are installed on the roof</w:t>
      </w:r>
      <w:r w:rsidRPr="00DC43FB">
        <w:rPr>
          <w:i/>
          <w:sz w:val="22"/>
          <w:szCs w:val="22"/>
        </w:rPr>
        <w:t>.</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DC43FB" w:rsidRDefault="008005D2" w:rsidP="008005D2">
      <w:pPr>
        <w:wordWrap/>
        <w:spacing w:before="60" w:after="60" w:line="288" w:lineRule="auto"/>
        <w:ind w:firstLine="284"/>
        <w:jc w:val="both"/>
        <w:rPr>
          <w:rFonts w:eastAsia="Malgun Gothic"/>
          <w:color w:val="000000"/>
          <w:sz w:val="22"/>
          <w:szCs w:val="22"/>
        </w:rPr>
      </w:pPr>
      <w:r w:rsidRPr="00DC43FB">
        <w:rPr>
          <w:rFonts w:eastAsia="Malgun Gothic"/>
          <w:color w:val="000000"/>
          <w:sz w:val="22"/>
          <w:szCs w:val="22"/>
        </w:rPr>
        <w:t xml:space="preserve">In this contribution, we </w:t>
      </w:r>
      <w:r w:rsidR="00421017" w:rsidRPr="00DC43FB">
        <w:rPr>
          <w:rFonts w:eastAsia="Malgun Gothic"/>
          <w:color w:val="000000"/>
          <w:sz w:val="22"/>
          <w:szCs w:val="22"/>
        </w:rPr>
        <w:t>discussed the additional scenarios for evaluation for NR positioning evaluation</w:t>
      </w:r>
      <w:r w:rsidRPr="00DC43FB">
        <w:rPr>
          <w:rFonts w:eastAsia="Malgun Gothic"/>
          <w:color w:val="000000"/>
          <w:sz w:val="22"/>
          <w:szCs w:val="22"/>
        </w:rPr>
        <w:t>. Our proposals are summarized below.</w:t>
      </w:r>
    </w:p>
    <w:p w:rsidR="00421017" w:rsidRPr="00DC43FB" w:rsidRDefault="00421017" w:rsidP="00421017">
      <w:pPr>
        <w:wordWrap/>
        <w:spacing w:before="60" w:after="60" w:line="288" w:lineRule="auto"/>
        <w:jc w:val="both"/>
        <w:rPr>
          <w:i/>
          <w:sz w:val="22"/>
          <w:szCs w:val="22"/>
        </w:rPr>
      </w:pPr>
      <w:r w:rsidRPr="00DC43FB">
        <w:rPr>
          <w:b/>
          <w:i/>
          <w:sz w:val="22"/>
          <w:szCs w:val="22"/>
        </w:rPr>
        <w:t>Proposal 1</w:t>
      </w:r>
      <w:r w:rsidRPr="00DC43FB">
        <w:rPr>
          <w:i/>
          <w:sz w:val="22"/>
          <w:szCs w:val="22"/>
        </w:rPr>
        <w:t>: The target positioning requirements should be defined following the IIoT use cases with positioning level 1, 2 and 8 in Table 8.1.7 in TR 22.804.</w:t>
      </w:r>
    </w:p>
    <w:p w:rsidR="00AD6824" w:rsidRPr="00DC43FB" w:rsidRDefault="00AD6824" w:rsidP="00AD6824">
      <w:pPr>
        <w:spacing w:before="60" w:after="60" w:line="288" w:lineRule="auto"/>
        <w:jc w:val="both"/>
        <w:rPr>
          <w:i/>
          <w:sz w:val="22"/>
          <w:szCs w:val="22"/>
        </w:rPr>
      </w:pPr>
      <w:r w:rsidRPr="00DC43FB">
        <w:rPr>
          <w:b/>
          <w:i/>
          <w:sz w:val="22"/>
          <w:szCs w:val="22"/>
        </w:rPr>
        <w:t xml:space="preserve">Proposal </w:t>
      </w:r>
      <w:r w:rsidR="00707931">
        <w:rPr>
          <w:b/>
          <w:i/>
          <w:sz w:val="22"/>
          <w:szCs w:val="22"/>
        </w:rPr>
        <w:t>2</w:t>
      </w:r>
      <w:r w:rsidRPr="00DC43FB">
        <w:rPr>
          <w:i/>
          <w:sz w:val="22"/>
          <w:szCs w:val="22"/>
        </w:rPr>
        <w:t xml:space="preserve">: </w:t>
      </w:r>
      <w:r w:rsidRPr="009967C2">
        <w:rPr>
          <w:i/>
          <w:sz w:val="22"/>
          <w:szCs w:val="22"/>
        </w:rPr>
        <w:t>Positioning accuracy including relati</w:t>
      </w:r>
      <w:r>
        <w:rPr>
          <w:i/>
          <w:sz w:val="22"/>
          <w:szCs w:val="22"/>
        </w:rPr>
        <w:t>ve positioing accuracy should be the baseline metric for evaluation. Latency</w:t>
      </w:r>
      <w:r>
        <w:rPr>
          <w:i/>
          <w:sz w:val="22"/>
          <w:szCs w:val="22"/>
          <w:lang w:val="en-GB"/>
        </w:rPr>
        <w:t xml:space="preserve">, signalling overhead </w:t>
      </w:r>
      <w:r w:rsidRPr="009967C2">
        <w:rPr>
          <w:i/>
          <w:sz w:val="22"/>
          <w:szCs w:val="22"/>
        </w:rPr>
        <w:t xml:space="preserve">and UE power consumption can be </w:t>
      </w:r>
      <w:r>
        <w:rPr>
          <w:i/>
          <w:sz w:val="22"/>
          <w:szCs w:val="22"/>
        </w:rPr>
        <w:t>considered additionally as metrics</w:t>
      </w:r>
      <w:r w:rsidRPr="009967C2">
        <w:rPr>
          <w:i/>
          <w:sz w:val="22"/>
          <w:szCs w:val="22"/>
        </w:rPr>
        <w:t xml:space="preserve"> for evaluation</w:t>
      </w:r>
      <w:r>
        <w:rPr>
          <w:i/>
          <w:sz w:val="22"/>
          <w:szCs w:val="22"/>
        </w:rPr>
        <w:t xml:space="preserve"> in an analytical manner</w:t>
      </w:r>
      <w:r w:rsidRPr="00DC43FB">
        <w:rPr>
          <w:i/>
          <w:sz w:val="22"/>
          <w:szCs w:val="22"/>
        </w:rPr>
        <w:t>.</w:t>
      </w:r>
    </w:p>
    <w:p w:rsidR="001E063F" w:rsidRPr="00DC43FB" w:rsidRDefault="001E063F" w:rsidP="001E063F">
      <w:pPr>
        <w:wordWrap/>
        <w:spacing w:before="60" w:after="60" w:line="288" w:lineRule="auto"/>
        <w:jc w:val="both"/>
        <w:rPr>
          <w:i/>
          <w:sz w:val="22"/>
          <w:szCs w:val="22"/>
        </w:rPr>
      </w:pPr>
      <w:r w:rsidRPr="00DC43FB">
        <w:rPr>
          <w:b/>
          <w:i/>
          <w:sz w:val="22"/>
          <w:szCs w:val="22"/>
        </w:rPr>
        <w:t xml:space="preserve">Proposal </w:t>
      </w:r>
      <w:r>
        <w:rPr>
          <w:b/>
          <w:i/>
          <w:sz w:val="22"/>
          <w:szCs w:val="22"/>
        </w:rPr>
        <w:t>3</w:t>
      </w:r>
      <w:r w:rsidRPr="00DC43FB">
        <w:rPr>
          <w:i/>
          <w:sz w:val="22"/>
          <w:szCs w:val="22"/>
        </w:rPr>
        <w:t xml:space="preserve">: The </w:t>
      </w:r>
      <w:r>
        <w:rPr>
          <w:i/>
          <w:sz w:val="22"/>
          <w:szCs w:val="22"/>
        </w:rPr>
        <w:t xml:space="preserve">optional </w:t>
      </w:r>
      <w:r w:rsidRPr="001E063F">
        <w:rPr>
          <w:i/>
          <w:sz w:val="22"/>
          <w:szCs w:val="22"/>
        </w:rPr>
        <w:t>UE height</w:t>
      </w:r>
      <w:r>
        <w:rPr>
          <w:i/>
          <w:sz w:val="22"/>
          <w:szCs w:val="22"/>
        </w:rPr>
        <w:t xml:space="preserve"> can be assumed to be</w:t>
      </w:r>
      <w:r w:rsidRPr="001E063F">
        <w:rPr>
          <w:i/>
          <w:sz w:val="22"/>
          <w:szCs w:val="22"/>
        </w:rPr>
        <w:t xml:space="preserve"> in the range of [0.5m, 2m] with uniform distribution</w:t>
      </w:r>
      <w:r>
        <w:rPr>
          <w:i/>
          <w:sz w:val="22"/>
          <w:szCs w:val="22"/>
        </w:rPr>
        <w:t xml:space="preserve">. The optional gNB height can be assumed to be 10m and </w:t>
      </w:r>
      <w:r w:rsidRPr="001E063F">
        <w:rPr>
          <w:i/>
          <w:sz w:val="22"/>
          <w:szCs w:val="22"/>
        </w:rPr>
        <w:t>the gNBs are installed on the roof</w:t>
      </w:r>
      <w:r w:rsidRPr="00DC43FB">
        <w:rPr>
          <w:i/>
          <w:sz w:val="22"/>
          <w:szCs w:val="22"/>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DC43FB" w:rsidRDefault="00421017" w:rsidP="00421017">
      <w:pPr>
        <w:pStyle w:val="2222"/>
        <w:numPr>
          <w:ilvl w:val="0"/>
          <w:numId w:val="13"/>
        </w:numPr>
        <w:spacing w:before="240" w:after="120" w:line="288" w:lineRule="auto"/>
        <w:ind w:left="426" w:firstLineChars="0" w:hanging="426"/>
        <w:rPr>
          <w:rFonts w:eastAsia="MS Mincho"/>
          <w:bCs/>
          <w:sz w:val="22"/>
          <w:szCs w:val="22"/>
          <w:lang w:eastAsia="ja-JP"/>
        </w:rPr>
      </w:pPr>
      <w:bookmarkStart w:id="5" w:name="_Ref446582201"/>
      <w:r w:rsidRPr="00DC43FB">
        <w:rPr>
          <w:bCs/>
          <w:sz w:val="22"/>
          <w:szCs w:val="22"/>
          <w:lang w:eastAsia="ja-JP"/>
        </w:rPr>
        <w:t>RP-193237</w:t>
      </w:r>
      <w:bookmarkEnd w:id="5"/>
      <w:r w:rsidRPr="00DC43FB">
        <w:rPr>
          <w:bCs/>
          <w:sz w:val="22"/>
          <w:szCs w:val="22"/>
          <w:lang w:eastAsia="ja-JP"/>
        </w:rPr>
        <w:t>, “NR Positioning Enhancements,” Qualcomm Incorporated.</w:t>
      </w:r>
    </w:p>
    <w:p w:rsidR="00421017" w:rsidRPr="00421017" w:rsidRDefault="00421017" w:rsidP="00421017">
      <w:pPr>
        <w:pStyle w:val="EX"/>
        <w:numPr>
          <w:ilvl w:val="0"/>
          <w:numId w:val="13"/>
        </w:numPr>
        <w:ind w:left="426" w:hanging="426"/>
      </w:pPr>
      <w:r w:rsidRPr="00DC43FB">
        <w:rPr>
          <w:rFonts w:eastAsia="SimSun"/>
          <w:sz w:val="22"/>
          <w:szCs w:val="22"/>
          <w:lang w:eastAsia="zh-CN"/>
        </w:rPr>
        <w:t>3GPP TR 22.804, "</w:t>
      </w:r>
      <w:r w:rsidRPr="00DC43FB">
        <w:rPr>
          <w:sz w:val="22"/>
          <w:szCs w:val="22"/>
        </w:rPr>
        <w:t xml:space="preserve"> </w:t>
      </w:r>
      <w:r w:rsidRPr="00DC43FB">
        <w:rPr>
          <w:rFonts w:eastAsia="SimSun"/>
          <w:sz w:val="22"/>
          <w:szCs w:val="22"/>
          <w:lang w:eastAsia="zh-CN"/>
        </w:rPr>
        <w:t>Study on Communication for Automation in Vertical Domains ".</w:t>
      </w:r>
    </w:p>
    <w:p w:rsidR="002A1A45" w:rsidRPr="008B5DA3" w:rsidRDefault="002A1A45" w:rsidP="00421017">
      <w:pPr>
        <w:pStyle w:val="2222"/>
        <w:spacing w:after="120" w:line="288" w:lineRule="auto"/>
        <w:ind w:left="426" w:firstLineChars="0" w:hanging="426"/>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0DA" w:rsidRPr="00C47AD2" w:rsidRDefault="004F60DA">
      <w:pPr>
        <w:rPr>
          <w:rFonts w:ascii="Arial" w:hAnsi="Arial"/>
          <w:sz w:val="12"/>
        </w:rPr>
      </w:pPr>
      <w:r>
        <w:separator/>
      </w:r>
    </w:p>
  </w:endnote>
  <w:endnote w:type="continuationSeparator" w:id="0">
    <w:p w:rsidR="004F60DA" w:rsidRPr="00C47AD2" w:rsidRDefault="004F60D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99121F">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0DA" w:rsidRPr="00C47AD2" w:rsidRDefault="004F60DA">
      <w:pPr>
        <w:rPr>
          <w:rFonts w:ascii="Arial" w:hAnsi="Arial"/>
          <w:sz w:val="12"/>
        </w:rPr>
      </w:pPr>
      <w:r>
        <w:separator/>
      </w:r>
    </w:p>
  </w:footnote>
  <w:footnote w:type="continuationSeparator" w:id="0">
    <w:p w:rsidR="004F60DA" w:rsidRPr="00C47AD2" w:rsidRDefault="004F60DA">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0F05BE"/>
    <w:multiLevelType w:val="hybridMultilevel"/>
    <w:tmpl w:val="F89E7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6"/>
  </w:num>
  <w:num w:numId="7">
    <w:abstractNumId w:val="11"/>
  </w:num>
  <w:num w:numId="8">
    <w:abstractNumId w:val="9"/>
  </w:num>
  <w:num w:numId="9">
    <w:abstractNumId w:val="14"/>
  </w:num>
  <w:num w:numId="10">
    <w:abstractNumId w:val="3"/>
  </w:num>
  <w:num w:numId="11">
    <w:abstractNumId w:val="4"/>
  </w:num>
  <w:num w:numId="12">
    <w:abstractNumId w:val="15"/>
  </w:num>
  <w:num w:numId="13">
    <w:abstractNumId w:val="2"/>
  </w:num>
  <w:num w:numId="14">
    <w:abstractNumId w:val="8"/>
  </w:num>
  <w:num w:numId="15">
    <w:abstractNumId w:val="1"/>
  </w:num>
  <w:num w:numId="16">
    <w:abstractNumId w:val="7"/>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16D"/>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63F"/>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0DA"/>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6F"/>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931"/>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9B8"/>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2F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21F"/>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7C2"/>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BF8"/>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824"/>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9F7"/>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2E01"/>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5E53"/>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BC6"/>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3F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C5"/>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75A0E-D339-4A85-9102-12CF816F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2020-08-06T16:58:00Z</dcterms:created>
  <dcterms:modified xsi:type="dcterms:W3CDTF">2020-08-06T16:58:00Z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